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Starting Avlayah</w:t>
      </w:r>
    </w:p>
    <w:p>
      <w:r>
        <w:rPr>
          <w:b/>
          <w:color w:val="5D3B76"/>
          <w:sz w:val="28"/>
        </w:rPr>
        <w:t>What families can expect before, during, and after treatment</w:t>
      </w:r>
    </w:p>
    <w:p>
      <w:r>
        <w:t>Avlayah is a weekly intravenous enzyme replacement therapy for eligible children with Hunter syndrome. Starting treatment involves insurance and site-of-care coordination, baseline testing, gradual dose increases, and close monitoring for infusion reactions. The first weeks may take patience: the goal is to reach the maintenance dose safely at the pace the child tolerates.</w:t>
      </w:r>
    </w:p>
    <w:p>
      <w:r>
        <w:rPr>
          <w:b/>
        </w:rPr>
        <w:t xml:space="preserve">Important: </w:t>
      </w:r>
      <w:r>
        <w:t>This guide is educational and does not replace advice from your child’s metabolic specialist or infusion team. Individual plans may differ. Call the care team for any new or concerning symptom; call 911 for signs of a life-threatening reaction.</w:t>
      </w:r>
    </w:p>
    <w:p>
      <w:pPr>
        <w:pStyle w:val="Heading1"/>
        <w:keepNext/>
      </w:pPr>
      <w:r>
        <w:t>Avlayah at a glance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880"/>
        <w:gridCol w:w="6912"/>
      </w:tblGrid>
      <w:tr>
        <w:trPr>
          <w:tblHeader/>
        </w:trPr>
        <w:tc>
          <w:tcPr>
            <w:tcW w:type="dxa" w:w="4997"/>
            <w:shd w:fill="5D3B76"/>
            <w:tcMar>
              <w:top w:w="100" w:type="dxa"/>
              <w:start w:w="120" w:type="dxa"/>
              <w:bottom w:w="100" w:type="dxa"/>
              <w:end w:w="120" w:type="dxa"/>
            </w:tcMar>
            <w:vAlign w:val="center"/>
          </w:tcPr>
          <w:p>
            <w:r>
              <w:rPr>
                <w:b/>
                <w:color w:val="FFFFFF"/>
              </w:rPr>
              <w:t>Topic</w:t>
            </w:r>
          </w:p>
        </w:tc>
        <w:tc>
          <w:tcPr>
            <w:tcW w:type="dxa" w:w="4997"/>
            <w:shd w:fill="5D3B76"/>
            <w:tcMar>
              <w:top w:w="100" w:type="dxa"/>
              <w:start w:w="120" w:type="dxa"/>
              <w:bottom w:w="100" w:type="dxa"/>
              <w:end w:w="120" w:type="dxa"/>
            </w:tcMar>
            <w:vAlign w:val="center"/>
          </w:tcPr>
          <w:p>
            <w:r>
              <w:rPr>
                <w:b/>
                <w:color w:val="FFFFFF"/>
              </w:rPr>
              <w:t>What to know</w:t>
            </w:r>
          </w:p>
        </w:tc>
      </w:tr>
      <w:tr>
        <w:tc>
          <w:tcPr>
            <w:tcW w:type="dxa" w:w="2880"/>
            <w:tcMar>
              <w:top w:w="100" w:type="dxa"/>
              <w:start w:w="120" w:type="dxa"/>
              <w:bottom w:w="100" w:type="dxa"/>
              <w:end w:w="120" w:type="dxa"/>
            </w:tcMar>
            <w:vAlign w:val="center"/>
          </w:tcPr>
          <w:p>
            <w:r>
              <w:rPr>
                <w:b/>
              </w:rPr>
              <w:t>Who it is approved for</w:t>
            </w:r>
          </w:p>
        </w:tc>
        <w:tc>
          <w:tcPr>
            <w:tcW w:type="dxa" w:w="6912"/>
            <w:tcMar>
              <w:top w:w="100" w:type="dxa"/>
              <w:start w:w="120" w:type="dxa"/>
              <w:bottom w:w="100" w:type="dxa"/>
              <w:end w:w="120" w:type="dxa"/>
            </w:tcMar>
            <w:vAlign w:val="center"/>
          </w:tcPr>
          <w:p>
            <w:r>
              <w:t>Pediatric patients weighing at least 5 kg with Hunter syndrome, before advanced neurologic disease, for treatment of neurologic symptoms.</w:t>
            </w:r>
          </w:p>
        </w:tc>
      </w:tr>
      <w:tr>
        <w:tc>
          <w:tcPr>
            <w:tcW w:type="dxa" w:w="2880"/>
            <w:shd w:fill="F7F9FA"/>
            <w:tcMar>
              <w:top w:w="100" w:type="dxa"/>
              <w:start w:w="120" w:type="dxa"/>
              <w:bottom w:w="100" w:type="dxa"/>
              <w:end w:w="120" w:type="dxa"/>
            </w:tcMar>
            <w:vAlign w:val="center"/>
          </w:tcPr>
          <w:p>
            <w:r>
              <w:rPr>
                <w:b/>
              </w:rPr>
              <w:t>How it is given</w:t>
            </w:r>
          </w:p>
        </w:tc>
        <w:tc>
          <w:tcPr>
            <w:tcW w:type="dxa" w:w="6912"/>
            <w:shd w:fill="F7F9FA"/>
            <w:tcMar>
              <w:top w:w="100" w:type="dxa"/>
              <w:start w:w="120" w:type="dxa"/>
              <w:bottom w:w="100" w:type="dxa"/>
              <w:end w:w="120" w:type="dxa"/>
            </w:tcMar>
            <w:vAlign w:val="center"/>
          </w:tcPr>
          <w:p>
            <w:r>
              <w:t>A weight-based intravenous infusion once every week.</w:t>
            </w:r>
          </w:p>
        </w:tc>
      </w:tr>
      <w:tr>
        <w:tc>
          <w:tcPr>
            <w:tcW w:type="dxa" w:w="2880"/>
            <w:tcMar>
              <w:top w:w="100" w:type="dxa"/>
              <w:start w:w="120" w:type="dxa"/>
              <w:bottom w:w="100" w:type="dxa"/>
              <w:end w:w="120" w:type="dxa"/>
            </w:tcMar>
            <w:vAlign w:val="center"/>
          </w:tcPr>
          <w:p>
            <w:r>
              <w:rPr>
                <w:b/>
              </w:rPr>
              <w:t>Dose schedule</w:t>
            </w:r>
          </w:p>
        </w:tc>
        <w:tc>
          <w:tcPr>
            <w:tcW w:type="dxa" w:w="6912"/>
            <w:tcMar>
              <w:top w:w="100" w:type="dxa"/>
              <w:start w:w="120" w:type="dxa"/>
              <w:bottom w:w="100" w:type="dxa"/>
              <w:end w:w="120" w:type="dxa"/>
            </w:tcMar>
            <w:vAlign w:val="center"/>
          </w:tcPr>
          <w:p>
            <w:r>
              <w:t>3 mg/kg weekly for at least 4 weeks, then 7.5 mg/kg weekly for at least 4 weeks, then 15 mg/kg weekly as the maintenance dose—only when each level is tolerated.</w:t>
            </w:r>
          </w:p>
        </w:tc>
      </w:tr>
      <w:tr>
        <w:tc>
          <w:tcPr>
            <w:tcW w:type="dxa" w:w="2880"/>
            <w:shd w:fill="F7F9FA"/>
            <w:tcMar>
              <w:top w:w="100" w:type="dxa"/>
              <w:start w:w="120" w:type="dxa"/>
              <w:bottom w:w="100" w:type="dxa"/>
              <w:end w:w="120" w:type="dxa"/>
            </w:tcMar>
            <w:vAlign w:val="center"/>
          </w:tcPr>
          <w:p>
            <w:r>
              <w:rPr>
                <w:b/>
              </w:rPr>
              <w:t>Time at the infusion center</w:t>
            </w:r>
          </w:p>
        </w:tc>
        <w:tc>
          <w:tcPr>
            <w:tcW w:type="dxa" w:w="6912"/>
            <w:shd w:fill="F7F9FA"/>
            <w:tcMar>
              <w:top w:w="100" w:type="dxa"/>
              <w:start w:w="120" w:type="dxa"/>
              <w:bottom w:w="100" w:type="dxa"/>
              <w:end w:w="120" w:type="dxa"/>
            </w:tcMar>
            <w:vAlign w:val="center"/>
          </w:tcPr>
          <w:p>
            <w:r>
              <w:t>The infusion initially takes about 4 hours and may take longer. Allow extra time for check-in, medication preparation, pre-treatment medicines, monitoring, and follow-up.</w:t>
            </w:r>
          </w:p>
        </w:tc>
      </w:tr>
      <w:tr>
        <w:tc>
          <w:tcPr>
            <w:tcW w:type="dxa" w:w="2880"/>
            <w:tcMar>
              <w:top w:w="100" w:type="dxa"/>
              <w:start w:w="120" w:type="dxa"/>
              <w:bottom w:w="100" w:type="dxa"/>
              <w:end w:w="120" w:type="dxa"/>
            </w:tcMar>
            <w:vAlign w:val="center"/>
          </w:tcPr>
          <w:p>
            <w:r>
              <w:rPr>
                <w:b/>
              </w:rPr>
              <w:t>Where treatment starts</w:t>
            </w:r>
          </w:p>
        </w:tc>
        <w:tc>
          <w:tcPr>
            <w:tcW w:type="dxa" w:w="6912"/>
            <w:tcMar>
              <w:top w:w="100" w:type="dxa"/>
              <w:start w:w="120" w:type="dxa"/>
              <w:bottom w:w="100" w:type="dxa"/>
              <w:end w:w="120" w:type="dxa"/>
            </w:tcMar>
            <w:vAlign w:val="center"/>
          </w:tcPr>
          <w:p>
            <w:r>
              <w:t>Initially in a clinic or hospital equipped to recognize and treat severe allergic reactions. Home infusion may later be considered after the maintenance dose is reached and tolerated, based on the physician’s evaluation.</w:t>
            </w:r>
          </w:p>
        </w:tc>
      </w:tr>
      <w:tr>
        <w:tc>
          <w:tcPr>
            <w:tcW w:type="dxa" w:w="2880"/>
            <w:shd w:fill="F7F9FA"/>
            <w:tcMar>
              <w:top w:w="100" w:type="dxa"/>
              <w:start w:w="120" w:type="dxa"/>
              <w:bottom w:w="100" w:type="dxa"/>
              <w:end w:w="120" w:type="dxa"/>
            </w:tcMar>
            <w:vAlign w:val="center"/>
          </w:tcPr>
          <w:p>
            <w:r>
              <w:rPr>
                <w:b/>
              </w:rPr>
              <w:t>Important limitation</w:t>
            </w:r>
          </w:p>
        </w:tc>
        <w:tc>
          <w:tcPr>
            <w:tcW w:type="dxa" w:w="6912"/>
            <w:shd w:fill="F7F9FA"/>
            <w:tcMar>
              <w:top w:w="100" w:type="dxa"/>
              <w:start w:w="120" w:type="dxa"/>
              <w:bottom w:w="100" w:type="dxa"/>
              <w:end w:w="120" w:type="dxa"/>
            </w:tcMar>
            <w:vAlign w:val="center"/>
          </w:tcPr>
          <w:p>
            <w:r>
              <w:t>Avlayah is not recommended in combination with another enzyme replacement therapy for Hunter syndrome.</w:t>
            </w:r>
          </w:p>
        </w:tc>
      </w:tr>
    </w:tbl>
    <w:p>
      <w:pPr>
        <w:pStyle w:val="Heading1"/>
        <w:keepNext/>
      </w:pPr>
      <w:r>
        <w:t>Before the first infusion</w:t>
      </w:r>
    </w:p>
    <w:p>
      <w:r>
        <w:t>The prescribing team and infusion center will build the final plan. Before treatment begins, families can expect several clinical and practical steps.</w:t>
      </w:r>
    </w:p>
    <w:p>
      <w:pPr>
        <w:pStyle w:val="ListBullet"/>
      </w:pPr>
      <w:r>
        <w:t>Confirm eligibility, the prescription, insurance authorization, medication delivery, and the infusion location.</w:t>
      </w:r>
    </w:p>
    <w:p>
      <w:pPr>
        <w:pStyle w:val="ListBullet"/>
      </w:pPr>
      <w:r>
        <w:t>Review prior enzyme replacement therapy, infusion reactions, allergies, heart and lung concerns, current illness, and all medicines and supplements.</w:t>
      </w:r>
    </w:p>
    <w:p>
      <w:pPr>
        <w:pStyle w:val="ListBullet"/>
      </w:pPr>
      <w:r>
        <w:t>Obtain a baseline hemoglobin level. The label also directs clinicians to monitor serum creatinine and the urine protein-to-creatinine ratio during treatment.</w:t>
      </w:r>
    </w:p>
    <w:p>
      <w:pPr>
        <w:pStyle w:val="ListBullet"/>
      </w:pPr>
      <w:r>
        <w:t>Discuss pre-treatment medicines. The clinician may consider an antihistamine, fever reducer, and/or corticosteroid to reduce infusion-associated reactions. Reactions can still occur despite pre-treatment.</w:t>
      </w:r>
    </w:p>
    <w:p>
      <w:pPr>
        <w:pStyle w:val="ListBullet"/>
      </w:pPr>
      <w:r>
        <w:t>Make a plan for vascular access, comfort, behavior, food and drink, missed school or work, transportation, and who to call after hours.</w:t>
      </w:r>
    </w:p>
    <w:p>
      <w:pPr>
        <w:pStyle w:val="ListBullet"/>
      </w:pPr>
      <w:r>
        <w:t>Ask whether the child should postpone an infusion when ill. Do not skip, combine, or reschedule doses without instructions from the prescribing team.</w:t>
      </w:r>
    </w:p>
    <w:p>
      <w:pPr>
        <w:pStyle w:val="Heading1"/>
        <w:keepNext/>
      </w:pPr>
      <w:r>
        <w:t>The dose escalation period</w:t>
      </w:r>
    </w:p>
    <w:p>
      <w:r>
        <w:t>Dose escalation takes at least nine weeks. It may take longer when a child needs more time at a dose level or experiences a reaction. A slower path does not mean treatment has failed; it means the team is individualizing administration for safety and tolerability.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88"/>
        <w:gridCol w:w="2304"/>
        <w:gridCol w:w="5400"/>
      </w:tblGrid>
      <w:tr>
        <w:trPr>
          <w:tblHeader/>
        </w:trPr>
        <w:tc>
          <w:tcPr>
            <w:tcW w:type="dxa" w:w="3331"/>
            <w:shd w:fill="5D3B76"/>
            <w:tcMar>
              <w:top w:w="100" w:type="dxa"/>
              <w:start w:w="120" w:type="dxa"/>
              <w:bottom w:w="100" w:type="dxa"/>
              <w:end w:w="120" w:type="dxa"/>
            </w:tcMar>
          </w:tcPr>
          <w:p>
            <w:r>
              <w:rPr>
                <w:b/>
                <w:color w:val="FFFFFF"/>
              </w:rPr>
              <w:t>Typical timing</w:t>
            </w:r>
          </w:p>
        </w:tc>
        <w:tc>
          <w:tcPr>
            <w:tcW w:type="dxa" w:w="3331"/>
            <w:shd w:fill="5D3B76"/>
            <w:tcMar>
              <w:top w:w="100" w:type="dxa"/>
              <w:start w:w="120" w:type="dxa"/>
              <w:bottom w:w="100" w:type="dxa"/>
              <w:end w:w="120" w:type="dxa"/>
            </w:tcMar>
          </w:tcPr>
          <w:p>
            <w:r>
              <w:rPr>
                <w:b/>
                <w:color w:val="FFFFFF"/>
              </w:rPr>
              <w:t>Weekly dose</w:t>
            </w:r>
          </w:p>
        </w:tc>
        <w:tc>
          <w:tcPr>
            <w:tcW w:type="dxa" w:w="3331"/>
            <w:shd w:fill="5D3B76"/>
            <w:tcMar>
              <w:top w:w="100" w:type="dxa"/>
              <w:start w:w="120" w:type="dxa"/>
              <w:bottom w:w="100" w:type="dxa"/>
              <w:end w:w="120" w:type="dxa"/>
            </w:tcMar>
          </w:tcPr>
          <w:p>
            <w:r>
              <w:rPr>
                <w:b/>
                <w:color w:val="FFFFFF"/>
              </w:rPr>
              <w:t>What families may notice</w:t>
            </w:r>
          </w:p>
        </w:tc>
      </w:tr>
      <w:tr>
        <w:tc>
          <w:tcPr>
            <w:tcW w:type="dxa" w:w="2088"/>
            <w:tcMar>
              <w:top w:w="100" w:type="dxa"/>
              <w:start w:w="120" w:type="dxa"/>
              <w:bottom w:w="100" w:type="dxa"/>
              <w:end w:w="120" w:type="dxa"/>
            </w:tcMar>
            <w:vAlign w:val="center"/>
          </w:tcPr>
          <w:p>
            <w:r>
              <w:t>Weeks 1 through 4</w:t>
            </w:r>
          </w:p>
        </w:tc>
        <w:tc>
          <w:tcPr>
            <w:tcW w:type="dxa" w:w="2304"/>
            <w:tcMar>
              <w:top w:w="100" w:type="dxa"/>
              <w:start w:w="120" w:type="dxa"/>
              <w:bottom w:w="100" w:type="dxa"/>
              <w:end w:w="120" w:type="dxa"/>
            </w:tcMar>
            <w:vAlign w:val="center"/>
          </w:tcPr>
          <w:p>
            <w:r>
              <w:t>3 mg/kg</w:t>
            </w:r>
          </w:p>
        </w:tc>
        <w:tc>
          <w:tcPr>
            <w:tcW w:type="dxa" w:w="5400"/>
            <w:tcMar>
              <w:top w:w="100" w:type="dxa"/>
              <w:start w:w="120" w:type="dxa"/>
              <w:bottom w:w="100" w:type="dxa"/>
              <w:end w:w="120" w:type="dxa"/>
            </w:tcMar>
            <w:vAlign w:val="center"/>
          </w:tcPr>
          <w:p>
            <w:r>
              <w:t>Starting dose. The team watches closely for reactions and overall tolerance.</w:t>
            </w:r>
          </w:p>
        </w:tc>
      </w:tr>
      <w:tr>
        <w:tc>
          <w:tcPr>
            <w:tcW w:type="dxa" w:w="2088"/>
            <w:tcMar>
              <w:top w:w="100" w:type="dxa"/>
              <w:start w:w="120" w:type="dxa"/>
              <w:bottom w:w="100" w:type="dxa"/>
              <w:end w:w="120" w:type="dxa"/>
            </w:tcMar>
            <w:vAlign w:val="center"/>
            <w:shd w:fill="F4F0F7"/>
          </w:tcPr>
          <w:p>
            <w:r>
              <w:t>Weeks 5 through 8</w:t>
            </w:r>
          </w:p>
        </w:tc>
        <w:tc>
          <w:tcPr>
            <w:tcW w:type="dxa" w:w="2304"/>
            <w:tcMar>
              <w:top w:w="100" w:type="dxa"/>
              <w:start w:w="120" w:type="dxa"/>
              <w:bottom w:w="100" w:type="dxa"/>
              <w:end w:w="120" w:type="dxa"/>
            </w:tcMar>
            <w:vAlign w:val="center"/>
            <w:shd w:fill="F4F0F7"/>
          </w:tcPr>
          <w:p>
            <w:r>
              <w:t>7.5 mg/kg</w:t>
            </w:r>
          </w:p>
        </w:tc>
        <w:tc>
          <w:tcPr>
            <w:tcW w:type="dxa" w:w="5400"/>
            <w:tcMar>
              <w:top w:w="100" w:type="dxa"/>
              <w:start w:w="120" w:type="dxa"/>
              <w:bottom w:w="100" w:type="dxa"/>
              <w:end w:w="120" w:type="dxa"/>
            </w:tcMar>
            <w:vAlign w:val="center"/>
            <w:shd w:fill="F4F0F7"/>
          </w:tcPr>
          <w:p>
            <w:r>
              <w:t>Dose increases only after the starting dose is tolerated.</w:t>
            </w:r>
          </w:p>
        </w:tc>
      </w:tr>
      <w:tr>
        <w:tc>
          <w:tcPr>
            <w:tcW w:type="dxa" w:w="2088"/>
            <w:tcMar>
              <w:top w:w="100" w:type="dxa"/>
              <w:start w:w="120" w:type="dxa"/>
              <w:bottom w:w="100" w:type="dxa"/>
              <w:end w:w="120" w:type="dxa"/>
            </w:tcMar>
            <w:vAlign w:val="center"/>
          </w:tcPr>
          <w:p>
            <w:r>
              <w:t>Week 9 and beyond</w:t>
            </w:r>
          </w:p>
        </w:tc>
        <w:tc>
          <w:tcPr>
            <w:tcW w:type="dxa" w:w="2304"/>
            <w:tcMar>
              <w:top w:w="100" w:type="dxa"/>
              <w:start w:w="120" w:type="dxa"/>
              <w:bottom w:w="100" w:type="dxa"/>
              <w:end w:w="120" w:type="dxa"/>
            </w:tcMar>
            <w:vAlign w:val="center"/>
          </w:tcPr>
          <w:p>
            <w:r>
              <w:t>15 mg/kg</w:t>
            </w:r>
          </w:p>
        </w:tc>
        <w:tc>
          <w:tcPr>
            <w:tcW w:type="dxa" w:w="5400"/>
            <w:tcMar>
              <w:top w:w="100" w:type="dxa"/>
              <w:start w:w="120" w:type="dxa"/>
              <w:bottom w:w="100" w:type="dxa"/>
              <w:end w:w="120" w:type="dxa"/>
            </w:tcMar>
            <w:vAlign w:val="center"/>
          </w:tcPr>
          <w:p>
            <w:r>
              <w:t>Maintenance dose. Do not escalate if the current dose is not tolerated.</w:t>
            </w:r>
          </w:p>
        </w:tc>
      </w:tr>
    </w:tbl>
    <w:p>
      <w:pPr>
        <w:pStyle w:val="Heading1"/>
        <w:keepNext/>
      </w:pPr>
      <w:r>
        <w:t>What infusion day may look like</w:t>
      </w:r>
    </w:p>
    <w:p>
      <w:pPr>
        <w:pStyle w:val="ListNumber"/>
      </w:pPr>
      <w:r>
        <w:t>Check in and review recent symptoms, illnesses, reactions, and medication changes.</w:t>
      </w:r>
    </w:p>
    <w:p>
      <w:pPr>
        <w:pStyle w:val="ListNumber"/>
      </w:pPr>
      <w:r>
        <w:t>Measure weight and vital signs as directed by the infusion center; confirm the week’s dose.</w:t>
      </w:r>
    </w:p>
    <w:p>
      <w:pPr>
        <w:pStyle w:val="ListNumber"/>
      </w:pPr>
      <w:r>
        <w:t>Receive any ordered pre-treatment medicines and allow time for them to take effect.</w:t>
      </w:r>
    </w:p>
    <w:p>
      <w:pPr>
        <w:pStyle w:val="ListNumber"/>
      </w:pPr>
      <w:r>
        <w:t>Access the IV or implanted port and begin the infusion at the prescribed rate.</w:t>
      </w:r>
    </w:p>
    <w:p>
      <w:pPr>
        <w:pStyle w:val="ListNumber"/>
      </w:pPr>
      <w:r>
        <w:t>Monitor throughout the infusion. Tell the nurse immediately about any change, even if it seems mild.</w:t>
      </w:r>
    </w:p>
    <w:p>
      <w:pPr>
        <w:pStyle w:val="ListNumber"/>
      </w:pPr>
      <w:r>
        <w:t>Remain for post-infusion observation for the amount of time ordered by the care team. Some reactions begin after the infusion has ended.</w:t>
      </w:r>
    </w:p>
    <w:p>
      <w:r>
        <w:rPr>
          <w:b/>
        </w:rPr>
        <w:t xml:space="preserve">Practical items to bring: </w:t>
      </w:r>
      <w:r>
        <w:t>favorite snacks and drinks if permitted, comfort items, headphones or a tablet, chargers, a change of clothes, familiar activities, routine medicines, and the care team’s contact information. Ask the center about food, visitor, and medication policies before the first visit.</w:t>
      </w:r>
    </w:p>
    <w:p>
      <w:pPr>
        <w:pStyle w:val="Heading1"/>
        <w:keepNext/>
      </w:pPr>
      <w:r>
        <w:t>Infusion reactions and allergic reactions</w:t>
      </w:r>
    </w:p>
    <w:p>
      <w:r>
        <w:t>Infusion-associated reactions are the most common side effect. In the clinical study, they occurred in 87% of patients; 6% were severe. They were most likely to begin during the first eight weeks, with the first reaction occurring at a median of about two weeks. Frequency generally declined with continued treatment, but reactions can occur after many doses and may begin during the infusion or within 24 hours afterward.</w:t>
      </w:r>
    </w:p>
    <w:p>
      <w:pPr>
        <w:pStyle w:val="Heading2"/>
        <w:keepNext/>
      </w:pPr>
      <w:r>
        <w:t>Tell the infusion team immediately</w:t>
      </w:r>
    </w:p>
    <w:p>
      <w:pPr>
        <w:pStyle w:val="ListBullet"/>
      </w:pPr>
      <w:r>
        <w:t>Chills, fever, flushing, rash, hives, small skin bumps, swelling, cough, wheezing, vomiting, diarrhea, abdominal pain, headache, irritability, fast heartbeat, dizziness, fainting, or low blood pressure symptoms.</w:t>
      </w:r>
    </w:p>
    <w:p>
      <w:pPr>
        <w:pStyle w:val="Heading2"/>
        <w:keepNext/>
      </w:pPr>
      <w:r>
        <w:t>Emergency warning signs</w:t>
      </w:r>
    </w:p>
    <w:p>
      <w:r>
        <w:rPr>
          <w:b/>
        </w:rPr>
        <w:t xml:space="preserve">Seek emergency help immediately for </w:t>
      </w:r>
      <w:r>
        <w:t>trouble breathing or wheezing, swelling of the lips or tongue, fainting or severe dizziness, widespread hives, repeated vomiting with other allergic symptoms, or any rapidly worsening reaction. Severe hypersensitivity, including anaphylaxis, can be life-threatening.</w:t>
      </w:r>
    </w:p>
    <w:p>
      <w:r>
        <w:rPr>
          <w:b/>
        </w:rPr>
        <w:t xml:space="preserve">How the team may respond: </w:t>
      </w:r>
      <w:r>
        <w:t>For a mild or moderate reaction, the team may pause the infusion, reduce the infusion rate by at least 50%, give treatment, and restart more slowly if appropriate. A severe reaction requires stopping Avlayah and immediate medical treatment. Future doses, pre-treatment medicines, infusion rate, and dose may need to be reconsidered.</w:t>
      </w:r>
    </w:p>
    <w:p>
      <w:pPr>
        <w:pStyle w:val="Heading1"/>
        <w:keepNext/>
      </w:pPr>
      <w:r>
        <w:t>Monitoring during treatment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232"/>
        <w:gridCol w:w="3168"/>
        <w:gridCol w:w="4392"/>
      </w:tblGrid>
      <w:tr>
        <w:trPr>
          <w:tblHeader/>
        </w:trPr>
        <w:tc>
          <w:tcPr>
            <w:tcW w:type="dxa" w:w="3331"/>
            <w:shd w:fill="5D3B76"/>
            <w:tcMar>
              <w:top w:w="100" w:type="dxa"/>
              <w:start w:w="120" w:type="dxa"/>
              <w:bottom w:w="100" w:type="dxa"/>
              <w:end w:w="120" w:type="dxa"/>
            </w:tcMar>
          </w:tcPr>
          <w:p>
            <w:r>
              <w:rPr>
                <w:b/>
                <w:color w:val="FFFFFF"/>
              </w:rPr>
              <w:t>What is monitored</w:t>
            </w:r>
          </w:p>
        </w:tc>
        <w:tc>
          <w:tcPr>
            <w:tcW w:type="dxa" w:w="3331"/>
            <w:shd w:fill="5D3B76"/>
            <w:tcMar>
              <w:top w:w="100" w:type="dxa"/>
              <w:start w:w="120" w:type="dxa"/>
              <w:bottom w:w="100" w:type="dxa"/>
              <w:end w:w="120" w:type="dxa"/>
            </w:tcMar>
          </w:tcPr>
          <w:p>
            <w:r>
              <w:rPr>
                <w:b/>
                <w:color w:val="FFFFFF"/>
              </w:rPr>
              <w:t>Typical timing</w:t>
            </w:r>
          </w:p>
        </w:tc>
        <w:tc>
          <w:tcPr>
            <w:tcW w:type="dxa" w:w="3331"/>
            <w:shd w:fill="5D3B76"/>
            <w:tcMar>
              <w:top w:w="100" w:type="dxa"/>
              <w:start w:w="120" w:type="dxa"/>
              <w:bottom w:w="100" w:type="dxa"/>
              <w:end w:w="120" w:type="dxa"/>
            </w:tcMar>
          </w:tcPr>
          <w:p>
            <w:r>
              <w:rPr>
                <w:b/>
                <w:color w:val="FFFFFF"/>
              </w:rPr>
              <w:t>Why it matters</w:t>
            </w:r>
          </w:p>
        </w:tc>
      </w:tr>
      <w:tr>
        <w:tc>
          <w:tcPr>
            <w:tcW w:type="dxa" w:w="2232"/>
            <w:tcMar>
              <w:top w:w="100" w:type="dxa"/>
              <w:start w:w="120" w:type="dxa"/>
              <w:bottom w:w="100" w:type="dxa"/>
              <w:end w:w="120" w:type="dxa"/>
            </w:tcMar>
            <w:vAlign w:val="center"/>
          </w:tcPr>
          <w:p>
            <w:r>
              <w:t>Hemoglobin</w:t>
            </w:r>
          </w:p>
        </w:tc>
        <w:tc>
          <w:tcPr>
            <w:tcW w:type="dxa" w:w="3168"/>
            <w:tcMar>
              <w:top w:w="100" w:type="dxa"/>
              <w:start w:w="120" w:type="dxa"/>
              <w:bottom w:w="100" w:type="dxa"/>
              <w:end w:w="120" w:type="dxa"/>
            </w:tcMar>
            <w:vAlign w:val="center"/>
          </w:tcPr>
          <w:p>
            <w:r>
              <w:t>Before treatment, at about 3 months, then as clinically indicated</w:t>
            </w:r>
          </w:p>
        </w:tc>
        <w:tc>
          <w:tcPr>
            <w:tcW w:type="dxa" w:w="4392"/>
            <w:tcMar>
              <w:top w:w="100" w:type="dxa"/>
              <w:start w:w="120" w:type="dxa"/>
              <w:bottom w:w="100" w:type="dxa"/>
              <w:end w:w="120" w:type="dxa"/>
            </w:tcMar>
            <w:vAlign w:val="center"/>
          </w:tcPr>
          <w:p>
            <w:r>
              <w:t>Anemia occurred in 51% of study patients. Report unusual fatigue, pale skin, weakness, shortness of breath, or fast heartbeat.</w:t>
            </w:r>
          </w:p>
        </w:tc>
      </w:tr>
      <w:tr>
        <w:tc>
          <w:tcPr>
            <w:tcW w:type="dxa" w:w="2232"/>
            <w:tcMar>
              <w:top w:w="100" w:type="dxa"/>
              <w:start w:w="120" w:type="dxa"/>
              <w:bottom w:w="100" w:type="dxa"/>
              <w:end w:w="120" w:type="dxa"/>
            </w:tcMar>
            <w:vAlign w:val="center"/>
            <w:shd w:fill="F7F9FA"/>
          </w:tcPr>
          <w:p>
            <w:r>
              <w:t>Kidney function</w:t>
            </w:r>
          </w:p>
        </w:tc>
        <w:tc>
          <w:tcPr>
            <w:tcW w:type="dxa" w:w="3168"/>
            <w:tcMar>
              <w:top w:w="100" w:type="dxa"/>
              <w:start w:w="120" w:type="dxa"/>
              <w:bottom w:w="100" w:type="dxa"/>
              <w:end w:w="120" w:type="dxa"/>
            </w:tcMar>
            <w:vAlign w:val="center"/>
            <w:shd w:fill="F7F9FA"/>
          </w:tcPr>
          <w:p>
            <w:r>
              <w:t>During treatment as directed</w:t>
            </w:r>
          </w:p>
        </w:tc>
        <w:tc>
          <w:tcPr>
            <w:tcW w:type="dxa" w:w="4392"/>
            <w:tcMar>
              <w:top w:w="100" w:type="dxa"/>
              <w:start w:w="120" w:type="dxa"/>
              <w:bottom w:w="100" w:type="dxa"/>
              <w:end w:w="120" w:type="dxa"/>
            </w:tcMar>
            <w:vAlign w:val="center"/>
            <w:shd w:fill="F7F9FA"/>
          </w:tcPr>
          <w:p>
            <w:r>
              <w:t>The label recommends serum creatinine and urine protein-to-creatinine ratio monitoring because membranous nephropathy was reported in one treated patient.</w:t>
            </w:r>
          </w:p>
        </w:tc>
      </w:tr>
      <w:tr>
        <w:tc>
          <w:tcPr>
            <w:tcW w:type="dxa" w:w="2232"/>
            <w:tcMar>
              <w:top w:w="100" w:type="dxa"/>
              <w:start w:w="120" w:type="dxa"/>
              <w:bottom w:w="100" w:type="dxa"/>
              <w:end w:w="120" w:type="dxa"/>
            </w:tcMar>
            <w:vAlign w:val="center"/>
          </w:tcPr>
          <w:p>
            <w:r>
              <w:t>Weight and dose</w:t>
            </w:r>
          </w:p>
        </w:tc>
        <w:tc>
          <w:tcPr>
            <w:tcW w:type="dxa" w:w="3168"/>
            <w:tcMar>
              <w:top w:w="100" w:type="dxa"/>
              <w:start w:w="120" w:type="dxa"/>
              <w:bottom w:w="100" w:type="dxa"/>
              <w:end w:w="120" w:type="dxa"/>
            </w:tcMar>
            <w:vAlign w:val="center"/>
          </w:tcPr>
          <w:p>
            <w:r>
              <w:t>Regularly</w:t>
            </w:r>
          </w:p>
        </w:tc>
        <w:tc>
          <w:tcPr>
            <w:tcW w:type="dxa" w:w="4392"/>
            <w:tcMar>
              <w:top w:w="100" w:type="dxa"/>
              <w:start w:w="120" w:type="dxa"/>
              <w:bottom w:w="100" w:type="dxa"/>
              <w:end w:w="120" w:type="dxa"/>
            </w:tcMar>
            <w:vAlign w:val="center"/>
          </w:tcPr>
          <w:p>
            <w:r>
              <w:t>The dose is based on current body weight.</w:t>
            </w:r>
          </w:p>
        </w:tc>
      </w:tr>
      <w:tr>
        <w:tc>
          <w:tcPr>
            <w:tcW w:type="dxa" w:w="2232"/>
            <w:tcMar>
              <w:top w:w="100" w:type="dxa"/>
              <w:start w:w="120" w:type="dxa"/>
              <w:bottom w:w="100" w:type="dxa"/>
              <w:end w:w="120" w:type="dxa"/>
            </w:tcMar>
            <w:vAlign w:val="center"/>
            <w:shd w:fill="F7F9FA"/>
          </w:tcPr>
          <w:p>
            <w:r>
              <w:t>Reactions and tolerance</w:t>
            </w:r>
          </w:p>
        </w:tc>
        <w:tc>
          <w:tcPr>
            <w:tcW w:type="dxa" w:w="3168"/>
            <w:tcMar>
              <w:top w:w="100" w:type="dxa"/>
              <w:start w:w="120" w:type="dxa"/>
              <w:bottom w:w="100" w:type="dxa"/>
              <w:end w:w="120" w:type="dxa"/>
            </w:tcMar>
            <w:vAlign w:val="center"/>
            <w:shd w:fill="F7F9FA"/>
          </w:tcPr>
          <w:p>
            <w:r>
              <w:t>Every infusion and afterward</w:t>
            </w:r>
          </w:p>
        </w:tc>
        <w:tc>
          <w:tcPr>
            <w:tcW w:type="dxa" w:w="4392"/>
            <w:tcMar>
              <w:top w:w="100" w:type="dxa"/>
              <w:start w:w="120" w:type="dxa"/>
              <w:bottom w:w="100" w:type="dxa"/>
              <w:end w:w="120" w:type="dxa"/>
            </w:tcMar>
            <w:vAlign w:val="center"/>
            <w:shd w:fill="F7F9FA"/>
          </w:tcPr>
          <w:p>
            <w:r>
              <w:t>Helps guide rate changes, pre-treatment medicines, dose escalation, and site-of-care decisions.</w:t>
            </w:r>
          </w:p>
        </w:tc>
      </w:tr>
    </w:tbl>
    <w:p>
      <w:pPr>
        <w:pStyle w:val="Heading1"/>
        <w:keepNext/>
      </w:pPr>
      <w:r>
        <w:t>Other common side effects</w:t>
      </w:r>
    </w:p>
    <w:p>
      <w:r>
        <w:t>In the 47-patient clinical study, side effects reported in at least 20% of patients included upper respiratory infection, ear infection, fever, anemia, cough, vomiting, diarrhea, rash, COVID-19, runny or congested nose, falls, headache, skin abrasions, and hives, in addition to infusion-associated reactions. This list does not include every possible side effect.</w:t>
      </w:r>
    </w:p>
    <w:p>
      <w:pPr>
        <w:pStyle w:val="Heading1"/>
        <w:keepNext/>
      </w:pPr>
      <w:r>
        <w:t>What treatment may and may not change</w:t>
      </w:r>
    </w:p>
    <w:p>
      <w:r>
        <w:t>Avlayah received accelerated FDA approval based on reduction of heparan sulfate in cerebrospinal fluid, a biomarker of disease activity. In the study, 93% of evaluable participants had CSF heparan sulfate within the normal range by Week 24. Studies are ongoing to confirm how well Avlayah improves clinical symptoms. Families should not expect immediate or identical changes, and biomarker improvement does not predict exactly how an individual child will feel, function, learn, or behave.</w:t>
      </w:r>
    </w:p>
    <w:p>
      <w:r>
        <w:t>Continue the child’s usual Hunter syndrome monitoring and supportive care unless the treating team changes the plan. Keep therapy, school, sleep, behavior, mobility, hearing, breathing, pain, and daily-function notes if the team finds them useful, but avoid interpreting short-term changes without clinical context.</w:t>
      </w:r>
    </w:p>
    <w:p>
      <w:pPr>
        <w:pStyle w:val="Heading1"/>
        <w:keepNext/>
      </w:pPr>
      <w:r>
        <w:t>Moving toward home infusion</w:t>
      </w:r>
    </w:p>
    <w:p>
      <w:r>
        <w:t>Home infusion may be considered only after the child reaches and tolerates the 15 mg/kg maintenance dose. The physician decides whether home infusion is appropriate after reviewing reaction history, heart and lung status, vascular access, emergency readiness, caregiver comfort, insurance requirements, and availability of an experienced home-infusion provider. Home treatment remains a medically supervised infusion and does not eliminate the possibility of a reaction.</w:t>
      </w:r>
    </w:p>
    <w:p>
      <w:r>
        <w:br w:type="page"/>
      </w:r>
    </w:p>
    <w:p>
      <w:pPr>
        <w:pStyle w:val="Heading1"/>
        <w:keepNext/>
      </w:pPr>
      <w:r>
        <w:t>Questions to ask the care team</w:t>
      </w:r>
    </w:p>
    <w:p>
      <w:pPr>
        <w:pStyle w:val="ListBullet"/>
      </w:pPr>
      <w:r>
        <w:t>What is our planned starting date, infusion site, and dose-escalation schedule?</w:t>
      </w:r>
    </w:p>
    <w:p>
      <w:pPr>
        <w:pStyle w:val="ListBullet"/>
      </w:pPr>
      <w:r>
        <w:t>Which pre-treatment medicines will be used, and when should they be given?</w:t>
      </w:r>
    </w:p>
    <w:p>
      <w:pPr>
        <w:pStyle w:val="ListBullet"/>
      </w:pPr>
      <w:r>
        <w:t>How long should we plan to stay before and after the infusion?</w:t>
      </w:r>
    </w:p>
    <w:p>
      <w:pPr>
        <w:pStyle w:val="ListBullet"/>
      </w:pPr>
      <w:r>
        <w:t>Which symptoms should prompt a call to the clinic, an after-hours line, or 911?</w:t>
      </w:r>
    </w:p>
    <w:p>
      <w:pPr>
        <w:pStyle w:val="ListBullet"/>
      </w:pPr>
      <w:r>
        <w:t>What is the plan if a reaction occurs or the next dose increase is not tolerated?</w:t>
      </w:r>
    </w:p>
    <w:p>
      <w:pPr>
        <w:pStyle w:val="ListBullet"/>
      </w:pPr>
      <w:r>
        <w:t>What labs will be checked, and how will we receive the results?</w:t>
      </w:r>
    </w:p>
    <w:p>
      <w:pPr>
        <w:pStyle w:val="ListBullet"/>
      </w:pPr>
      <w:r>
        <w:t>Who coordinates medication delivery, insurance authorization, transportation, and missed doses?</w:t>
      </w:r>
    </w:p>
    <w:p>
      <w:pPr>
        <w:pStyle w:val="ListBullet"/>
      </w:pPr>
      <w:r>
        <w:t>What milestones would need to be met before home infusion could be considered?</w:t>
      </w:r>
    </w:p>
    <w:p>
      <w:pPr>
        <w:pStyle w:val="Heading1"/>
        <w:keepNext/>
      </w:pPr>
      <w:r>
        <w:t>A simple family tracking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24"/>
        <w:gridCol w:w="1512"/>
        <w:gridCol w:w="1584"/>
        <w:gridCol w:w="2520"/>
        <w:gridCol w:w="3024"/>
      </w:tblGrid>
      <w:tr>
        <w:tc>
          <w:tcPr>
            <w:tcW w:type="dxa" w:w="1999"/>
            <w:shd w:fill="5D3B76"/>
            <w:tcMar>
              <w:top w:w="90" w:type="dxa"/>
              <w:start w:w="80" w:type="dxa"/>
              <w:bottom w:w="90" w:type="dxa"/>
              <w:end w:w="80" w:type="dxa"/>
            </w:tcMar>
          </w:tcPr>
          <w:p>
            <w:r>
              <w:rPr>
                <w:b/>
                <w:color w:val="FFFFFF"/>
                <w:sz w:val="17"/>
              </w:rPr>
              <w:t>Date</w:t>
            </w:r>
          </w:p>
        </w:tc>
        <w:tc>
          <w:tcPr>
            <w:tcW w:type="dxa" w:w="1999"/>
            <w:shd w:fill="5D3B76"/>
            <w:tcMar>
              <w:top w:w="90" w:type="dxa"/>
              <w:start w:w="80" w:type="dxa"/>
              <w:bottom w:w="90" w:type="dxa"/>
              <w:end w:w="80" w:type="dxa"/>
            </w:tcMar>
          </w:tcPr>
          <w:p>
            <w:r>
              <w:rPr>
                <w:b/>
                <w:color w:val="FFFFFF"/>
                <w:sz w:val="17"/>
              </w:rPr>
              <w:t>Dose</w:t>
            </w:r>
          </w:p>
        </w:tc>
        <w:tc>
          <w:tcPr>
            <w:tcW w:type="dxa" w:w="1999"/>
            <w:shd w:fill="5D3B76"/>
            <w:tcMar>
              <w:top w:w="90" w:type="dxa"/>
              <w:start w:w="80" w:type="dxa"/>
              <w:bottom w:w="90" w:type="dxa"/>
              <w:end w:w="80" w:type="dxa"/>
            </w:tcMar>
          </w:tcPr>
          <w:p>
            <w:r>
              <w:rPr>
                <w:b/>
                <w:color w:val="FFFFFF"/>
                <w:sz w:val="17"/>
              </w:rPr>
              <w:t>Infusion time</w:t>
            </w:r>
          </w:p>
        </w:tc>
        <w:tc>
          <w:tcPr>
            <w:tcW w:type="dxa" w:w="1999"/>
            <w:shd w:fill="5D3B76"/>
            <w:tcMar>
              <w:top w:w="90" w:type="dxa"/>
              <w:start w:w="80" w:type="dxa"/>
              <w:bottom w:w="90" w:type="dxa"/>
              <w:end w:w="80" w:type="dxa"/>
            </w:tcMar>
          </w:tcPr>
          <w:p>
            <w:r>
              <w:rPr>
                <w:b/>
                <w:color w:val="FFFFFF"/>
                <w:sz w:val="17"/>
              </w:rPr>
              <w:t>Pre-treatment medicines</w:t>
            </w:r>
          </w:p>
        </w:tc>
        <w:tc>
          <w:tcPr>
            <w:tcW w:type="dxa" w:w="1999"/>
            <w:shd w:fill="5D3B76"/>
            <w:tcMar>
              <w:top w:w="90" w:type="dxa"/>
              <w:start w:w="80" w:type="dxa"/>
              <w:bottom w:w="90" w:type="dxa"/>
              <w:end w:w="80" w:type="dxa"/>
            </w:tcMar>
          </w:tcPr>
          <w:p>
            <w:r>
              <w:rPr>
                <w:b/>
                <w:color w:val="FFFFFF"/>
                <w:sz w:val="17"/>
              </w:rPr>
              <w:t>Symptoms during or within 24 hours</w:t>
            </w:r>
          </w:p>
        </w:tc>
      </w:tr>
      <w:tr>
        <w:tc>
          <w:tcPr>
            <w:tcW w:type="dxa" w:w="1224"/>
            <w:tcMar>
              <w:top w:w="160" w:type="dxa"/>
              <w:start w:w="80" w:type="dxa"/>
              <w:bottom w:w="160" w:type="dxa"/>
              <w:end w:w="80" w:type="dxa"/>
            </w:tcMar>
          </w:tcPr>
          <w:p>
            <w:r/>
          </w:p>
        </w:tc>
        <w:tc>
          <w:tcPr>
            <w:tcW w:type="dxa" w:w="1512"/>
            <w:tcMar>
              <w:top w:w="160" w:type="dxa"/>
              <w:start w:w="80" w:type="dxa"/>
              <w:bottom w:w="160" w:type="dxa"/>
              <w:end w:w="80" w:type="dxa"/>
            </w:tcMar>
          </w:tcPr>
          <w:p>
            <w:r/>
          </w:p>
        </w:tc>
        <w:tc>
          <w:tcPr>
            <w:tcW w:type="dxa" w:w="1584"/>
            <w:tcMar>
              <w:top w:w="160" w:type="dxa"/>
              <w:start w:w="80" w:type="dxa"/>
              <w:bottom w:w="160" w:type="dxa"/>
              <w:end w:w="80" w:type="dxa"/>
            </w:tcMar>
          </w:tcPr>
          <w:p>
            <w:r/>
          </w:p>
        </w:tc>
        <w:tc>
          <w:tcPr>
            <w:tcW w:type="dxa" w:w="2520"/>
            <w:tcMar>
              <w:top w:w="160" w:type="dxa"/>
              <w:start w:w="80" w:type="dxa"/>
              <w:bottom w:w="160" w:type="dxa"/>
              <w:end w:w="80" w:type="dxa"/>
            </w:tcMar>
          </w:tcPr>
          <w:p>
            <w:r/>
          </w:p>
        </w:tc>
        <w:tc>
          <w:tcPr>
            <w:tcW w:type="dxa" w:w="3024"/>
            <w:tcMar>
              <w:top w:w="160" w:type="dxa"/>
              <w:start w:w="80" w:type="dxa"/>
              <w:bottom w:w="160" w:type="dxa"/>
              <w:end w:w="80" w:type="dxa"/>
            </w:tcMar>
          </w:tcPr>
          <w:p>
            <w:r/>
          </w:p>
        </w:tc>
      </w:tr>
      <w:tr>
        <w:tc>
          <w:tcPr>
            <w:tcW w:type="dxa" w:w="1224"/>
            <w:tcMar>
              <w:top w:w="160" w:type="dxa"/>
              <w:start w:w="80" w:type="dxa"/>
              <w:bottom w:w="160" w:type="dxa"/>
              <w:end w:w="80" w:type="dxa"/>
            </w:tcMar>
          </w:tcPr>
          <w:p>
            <w:r/>
          </w:p>
        </w:tc>
        <w:tc>
          <w:tcPr>
            <w:tcW w:type="dxa" w:w="1512"/>
            <w:tcMar>
              <w:top w:w="160" w:type="dxa"/>
              <w:start w:w="80" w:type="dxa"/>
              <w:bottom w:w="160" w:type="dxa"/>
              <w:end w:w="80" w:type="dxa"/>
            </w:tcMar>
          </w:tcPr>
          <w:p>
            <w:r/>
          </w:p>
        </w:tc>
        <w:tc>
          <w:tcPr>
            <w:tcW w:type="dxa" w:w="1584"/>
            <w:tcMar>
              <w:top w:w="160" w:type="dxa"/>
              <w:start w:w="80" w:type="dxa"/>
              <w:bottom w:w="160" w:type="dxa"/>
              <w:end w:w="80" w:type="dxa"/>
            </w:tcMar>
          </w:tcPr>
          <w:p>
            <w:r/>
          </w:p>
        </w:tc>
        <w:tc>
          <w:tcPr>
            <w:tcW w:type="dxa" w:w="2520"/>
            <w:tcMar>
              <w:top w:w="160" w:type="dxa"/>
              <w:start w:w="80" w:type="dxa"/>
              <w:bottom w:w="160" w:type="dxa"/>
              <w:end w:w="80" w:type="dxa"/>
            </w:tcMar>
          </w:tcPr>
          <w:p>
            <w:r/>
          </w:p>
        </w:tc>
        <w:tc>
          <w:tcPr>
            <w:tcW w:type="dxa" w:w="3024"/>
            <w:tcMar>
              <w:top w:w="160" w:type="dxa"/>
              <w:start w:w="80" w:type="dxa"/>
              <w:bottom w:w="160" w:type="dxa"/>
              <w:end w:w="80" w:type="dxa"/>
            </w:tcMar>
          </w:tcPr>
          <w:p>
            <w:r/>
          </w:p>
        </w:tc>
      </w:tr>
      <w:tr>
        <w:tc>
          <w:tcPr>
            <w:tcW w:type="dxa" w:w="1224"/>
            <w:tcMar>
              <w:top w:w="160" w:type="dxa"/>
              <w:start w:w="80" w:type="dxa"/>
              <w:bottom w:w="160" w:type="dxa"/>
              <w:end w:w="80" w:type="dxa"/>
            </w:tcMar>
          </w:tcPr>
          <w:p>
            <w:r/>
          </w:p>
        </w:tc>
        <w:tc>
          <w:tcPr>
            <w:tcW w:type="dxa" w:w="1512"/>
            <w:tcMar>
              <w:top w:w="160" w:type="dxa"/>
              <w:start w:w="80" w:type="dxa"/>
              <w:bottom w:w="160" w:type="dxa"/>
              <w:end w:w="80" w:type="dxa"/>
            </w:tcMar>
          </w:tcPr>
          <w:p>
            <w:r/>
          </w:p>
        </w:tc>
        <w:tc>
          <w:tcPr>
            <w:tcW w:type="dxa" w:w="1584"/>
            <w:tcMar>
              <w:top w:w="160" w:type="dxa"/>
              <w:start w:w="80" w:type="dxa"/>
              <w:bottom w:w="160" w:type="dxa"/>
              <w:end w:w="80" w:type="dxa"/>
            </w:tcMar>
          </w:tcPr>
          <w:p>
            <w:r/>
          </w:p>
        </w:tc>
        <w:tc>
          <w:tcPr>
            <w:tcW w:type="dxa" w:w="2520"/>
            <w:tcMar>
              <w:top w:w="160" w:type="dxa"/>
              <w:start w:w="80" w:type="dxa"/>
              <w:bottom w:w="160" w:type="dxa"/>
              <w:end w:w="80" w:type="dxa"/>
            </w:tcMar>
          </w:tcPr>
          <w:p>
            <w:r/>
          </w:p>
        </w:tc>
        <w:tc>
          <w:tcPr>
            <w:tcW w:type="dxa" w:w="3024"/>
            <w:tcMar>
              <w:top w:w="160" w:type="dxa"/>
              <w:start w:w="80" w:type="dxa"/>
              <w:bottom w:w="160" w:type="dxa"/>
              <w:end w:w="80" w:type="dxa"/>
            </w:tcMar>
          </w:tcPr>
          <w:p>
            <w:r/>
          </w:p>
        </w:tc>
      </w:tr>
      <w:tr>
        <w:tc>
          <w:tcPr>
            <w:tcW w:type="dxa" w:w="1224"/>
            <w:tcMar>
              <w:top w:w="160" w:type="dxa"/>
              <w:start w:w="80" w:type="dxa"/>
              <w:bottom w:w="160" w:type="dxa"/>
              <w:end w:w="80" w:type="dxa"/>
            </w:tcMar>
          </w:tcPr>
          <w:p>
            <w:r/>
          </w:p>
        </w:tc>
        <w:tc>
          <w:tcPr>
            <w:tcW w:type="dxa" w:w="1512"/>
            <w:tcMar>
              <w:top w:w="160" w:type="dxa"/>
              <w:start w:w="80" w:type="dxa"/>
              <w:bottom w:w="160" w:type="dxa"/>
              <w:end w:w="80" w:type="dxa"/>
            </w:tcMar>
          </w:tcPr>
          <w:p>
            <w:r/>
          </w:p>
        </w:tc>
        <w:tc>
          <w:tcPr>
            <w:tcW w:type="dxa" w:w="1584"/>
            <w:tcMar>
              <w:top w:w="160" w:type="dxa"/>
              <w:start w:w="80" w:type="dxa"/>
              <w:bottom w:w="160" w:type="dxa"/>
              <w:end w:w="80" w:type="dxa"/>
            </w:tcMar>
          </w:tcPr>
          <w:p>
            <w:r/>
          </w:p>
        </w:tc>
        <w:tc>
          <w:tcPr>
            <w:tcW w:type="dxa" w:w="2520"/>
            <w:tcMar>
              <w:top w:w="160" w:type="dxa"/>
              <w:start w:w="80" w:type="dxa"/>
              <w:bottom w:w="160" w:type="dxa"/>
              <w:end w:w="80" w:type="dxa"/>
            </w:tcMar>
          </w:tcPr>
          <w:p>
            <w:r/>
          </w:p>
        </w:tc>
        <w:tc>
          <w:tcPr>
            <w:tcW w:type="dxa" w:w="3024"/>
            <w:tcMar>
              <w:top w:w="160" w:type="dxa"/>
              <w:start w:w="80" w:type="dxa"/>
              <w:bottom w:w="160" w:type="dxa"/>
              <w:end w:w="80" w:type="dxa"/>
            </w:tcMar>
          </w:tcPr>
          <w:p>
            <w:r/>
          </w:p>
        </w:tc>
      </w:tr>
    </w:tbl>
    <w:p>
      <w:pPr>
        <w:pStyle w:val="Heading1"/>
        <w:keepNext/>
      </w:pPr>
      <w:r>
        <w:t>Support and reliable information</w:t>
      </w:r>
    </w:p>
    <w:p>
      <w:r>
        <w:rPr>
          <w:b/>
        </w:rPr>
        <w:t xml:space="preserve">Denali Patient Services: </w:t>
      </w:r>
      <w:r>
        <w:t>844-365-4365, Monday through Friday, 8:30 a.m. to 8:00 p.m. Eastern. Support may include coverage, affordability, treatment coordination, and education. Eligibility rules apply to financial assistance.</w:t>
      </w:r>
    </w:p>
    <w:p>
      <w:r>
        <w:rPr>
          <w:b/>
        </w:rPr>
        <w:t xml:space="preserve">Report suspected side effects: </w:t>
      </w:r>
      <w:r>
        <w:t>Contact the treating team. Reports may also be made to Denali Therapeutics at 833-663-3654 or FDA MedWatch at 800-FDA-1088 or fda.gov/medwatch.</w:t>
      </w:r>
    </w:p>
    <w:p>
      <w:r>
        <w:rPr>
          <w:b/>
        </w:rPr>
        <w:t xml:space="preserve">Project Alive and Hunter Health: </w:t>
      </w:r>
      <w:r>
        <w:t>Families may contact Project Alive for nonmedical care coordination, resource navigation, appointment planning, and support preparing for infusion days.</w:t>
      </w:r>
    </w:p>
    <w:p>
      <w:pPr>
        <w:pStyle w:val="Heading1"/>
        <w:keepNext/>
      </w:pPr>
      <w:r>
        <w:t>Sources</w:t>
      </w:r>
    </w:p>
    <w:p>
      <w:pPr>
        <w:pStyle w:val="ListBullet"/>
      </w:pPr>
      <w:r>
        <w:rPr>
          <w:b/>
        </w:rPr>
        <w:t xml:space="preserve">Avlayah Full Prescribing Information, revised March 2026: </w:t>
      </w:r>
      <w:r>
        <w:t>https://www.denalitherapeutics.com/wp-content/uploads/2026/03/USPI-AVLAYAH-Mar2026.pdf</w:t>
      </w:r>
    </w:p>
    <w:p>
      <w:pPr>
        <w:pStyle w:val="ListBullet"/>
      </w:pPr>
      <w:r>
        <w:rPr>
          <w:b/>
        </w:rPr>
        <w:t xml:space="preserve">Avlayah patient and caregiver website: </w:t>
      </w:r>
      <w:r>
        <w:t>https://www.avlayah.com/</w:t>
      </w:r>
    </w:p>
    <w:p>
      <w:pPr>
        <w:pStyle w:val="ListBullet"/>
      </w:pPr>
      <w:r>
        <w:rPr>
          <w:b/>
        </w:rPr>
        <w:t xml:space="preserve">Avlayah Infusion Experience Flashcard: </w:t>
      </w:r>
      <w:r>
        <w:t>https://www.avlayah.com/resources/infusion-experience-flashcard/</w:t>
      </w:r>
    </w:p>
    <w:sectPr w:rsidR="00FC693F" w:rsidRPr="0006063C" w:rsidSect="00034616">
      <w:headerReference w:type="default" r:id="rId9"/>
      <w:footerReference w:type="default" r:id="rId10"/>
      <w:pgSz w:w="12240" w:h="15840"/>
      <w:pgMar w:top="1181" w:right="1123" w:bottom="1181" w:left="1123"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 xml:space="preserve">Starting Avlayah  •  Updated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D3B76"/>
        <w:sz w:val="16"/>
      </w:rPr>
      <w:t>PROJECT ALIVE  |  FAMILY TREATMENT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323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spacing w:after="60"/>
      <w:contextualSpacing/>
    </w:pPr>
    <w:rPr>
      <w:rFonts w:ascii="Aptos" w:hAnsi="Aptos"/>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